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47E" w:rsidRDefault="00C5447E" w:rsidP="00190842">
      <w:pPr>
        <w:pStyle w:val="Heading1"/>
      </w:pPr>
      <w:r>
        <w:t>Analýza deformace okraje tokamakového plazmatu</w:t>
      </w:r>
    </w:p>
    <w:p w:rsidR="00C5447E" w:rsidRPr="00C5447E" w:rsidRDefault="00C5447E" w:rsidP="00C5447E">
      <w:pPr>
        <w:rPr>
          <w:lang w:val="en-US"/>
        </w:rPr>
      </w:pPr>
      <w:r>
        <w:t>Školitel: RNDr. Pavel Cahyna, Ph.D.</w:t>
      </w:r>
      <w:r>
        <w:br/>
        <w:t xml:space="preserve">E-mail: </w:t>
      </w:r>
      <w:r w:rsidR="00D97A1E">
        <w:fldChar w:fldCharType="begin"/>
      </w:r>
      <w:r w:rsidR="00D97A1E">
        <w:instrText xml:space="preserve"> HYPERLINK "mailto:cahyna@ipp.cas.cz" </w:instrText>
      </w:r>
      <w:r w:rsidR="00D97A1E">
        <w:fldChar w:fldCharType="separate"/>
      </w:r>
      <w:r w:rsidRPr="00105A62">
        <w:rPr>
          <w:rStyle w:val="Hyperlink"/>
        </w:rPr>
        <w:t>cahyna</w:t>
      </w:r>
      <w:r w:rsidRPr="00105A62">
        <w:rPr>
          <w:rStyle w:val="Hyperlink"/>
          <w:lang w:val="en-US"/>
        </w:rPr>
        <w:t>@ipp.cas.cz</w:t>
      </w:r>
      <w:r w:rsidR="00D97A1E">
        <w:rPr>
          <w:rStyle w:val="Hyperlink"/>
          <w:lang w:val="en-US"/>
        </w:rPr>
        <w:fldChar w:fldCharType="end"/>
      </w:r>
      <w:r>
        <w:rPr>
          <w:lang w:val="en-US"/>
        </w:rPr>
        <w:br/>
      </w:r>
      <w:proofErr w:type="spellStart"/>
      <w:r>
        <w:rPr>
          <w:lang w:val="en-US"/>
        </w:rPr>
        <w:t>Telefon</w:t>
      </w:r>
      <w:proofErr w:type="spellEnd"/>
      <w:r>
        <w:rPr>
          <w:lang w:val="en-US"/>
        </w:rPr>
        <w:t>: +420 2 6605 3564</w:t>
      </w:r>
    </w:p>
    <w:p w:rsidR="0061105F" w:rsidRDefault="00190842" w:rsidP="00190842">
      <w:pPr>
        <w:pStyle w:val="Heading1"/>
      </w:pPr>
      <w:r>
        <w:t>Zadání práce</w:t>
      </w:r>
    </w:p>
    <w:p w:rsidR="00BC55F3" w:rsidRDefault="00190842" w:rsidP="00190842">
      <w:bookmarkStart w:id="0" w:name="_GoBack"/>
      <w:bookmarkEnd w:id="0"/>
      <w:r>
        <w:t xml:space="preserve">Základní tvar plazmatu tokamaku je toroidálně symetrický prstenec, díky čemuž je možné nahlížet na plazma jako na v zásadě dvourozměrný objekt. Mnohé jevy v tokamaku však tuto symetrii narušují a vyžadují určitou míru trojrozměrného přístupu. Jedním z nich je řízené narušení symetrie pomocí magnetických cívek, </w:t>
      </w:r>
      <w:r w:rsidR="00965FD2">
        <w:t xml:space="preserve">vytvářejících perturbace magnetického pole </w:t>
      </w:r>
      <w:r>
        <w:t>sloužící ke kontrole určitých typů nestabilit, známých jako okrajové módy (edge localized modes, ELMs). Mechanismus kontroly těchto módů není zatím objasněn, předpokládá se však, že může souviset s deformací tvaru plazmatu vyvolanou působením řídících cívek. Tato deformace</w:t>
      </w:r>
      <w:r w:rsidR="00E80D83">
        <w:t xml:space="preserve"> (jakési zkroucení prstence plazmatu)</w:t>
      </w:r>
      <w:r w:rsidR="00965FD2">
        <w:t xml:space="preserve"> by ale </w:t>
      </w:r>
      <w:r w:rsidR="00BC55F3">
        <w:t xml:space="preserve">také </w:t>
      </w:r>
      <w:r w:rsidR="00965FD2">
        <w:t>mohla vést k problémům</w:t>
      </w:r>
      <w:r>
        <w:t xml:space="preserve"> na tokamaku ITER, pokud by způsobila, že by se horké plazma dotklo míst stěny</w:t>
      </w:r>
      <w:r w:rsidR="00965FD2">
        <w:t>, která</w:t>
      </w:r>
      <w:r>
        <w:t xml:space="preserve"> </w:t>
      </w:r>
      <w:r w:rsidR="00965FD2">
        <w:t>nejsou na značné tepelné toky uzpůsobena.</w:t>
      </w:r>
      <w:r>
        <w:t xml:space="preserve"> </w:t>
      </w:r>
    </w:p>
    <w:p w:rsidR="00316D34" w:rsidRDefault="00D97A1E" w:rsidP="0019084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2861F" wp14:editId="26003498">
                <wp:simplePos x="0" y="0"/>
                <wp:positionH relativeFrom="column">
                  <wp:posOffset>52705</wp:posOffset>
                </wp:positionH>
                <wp:positionV relativeFrom="paragraph">
                  <wp:posOffset>3360420</wp:posOffset>
                </wp:positionV>
                <wp:extent cx="1819275" cy="635"/>
                <wp:effectExtent l="0" t="0" r="9525" b="6985"/>
                <wp:wrapSquare wrapText="right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97A1E" w:rsidRPr="00D97A1E" w:rsidRDefault="00D97A1E" w:rsidP="00D97A1E">
                            <w:pPr>
                              <w:pStyle w:val="Caption"/>
                              <w:rPr>
                                <w:noProof/>
                                <w:color w:val="auto"/>
                              </w:rPr>
                            </w:pPr>
                            <w:bookmarkStart w:id="1" w:name="_Ref383784736"/>
                            <w:r w:rsidRPr="00D97A1E">
                              <w:rPr>
                                <w:color w:val="auto"/>
                              </w:rPr>
                              <w:t xml:space="preserve">Fig. </w:t>
                            </w:r>
                            <w:r w:rsidRPr="00D97A1E">
                              <w:rPr>
                                <w:color w:val="auto"/>
                              </w:rPr>
                              <w:fldChar w:fldCharType="begin"/>
                            </w:r>
                            <w:r w:rsidRPr="00D97A1E">
                              <w:rPr>
                                <w:color w:val="auto"/>
                              </w:rPr>
                              <w:instrText xml:space="preserve"> SEQ Fig. \* ARABIC </w:instrText>
                            </w:r>
                            <w:r w:rsidRPr="00D97A1E">
                              <w:rPr>
                                <w:color w:val="auto"/>
                              </w:rPr>
                              <w:fldChar w:fldCharType="separate"/>
                            </w:r>
                            <w:r w:rsidRPr="00D97A1E">
                              <w:rPr>
                                <w:noProof/>
                                <w:color w:val="auto"/>
                              </w:rPr>
                              <w:t>1</w:t>
                            </w:r>
                            <w:r w:rsidRPr="00D97A1E">
                              <w:rPr>
                                <w:color w:val="auto"/>
                              </w:rPr>
                              <w:fldChar w:fldCharType="end"/>
                            </w:r>
                            <w:bookmarkEnd w:id="1"/>
                            <w:r w:rsidRPr="00D97A1E">
                              <w:rPr>
                                <w:noProof/>
                                <w:color w:val="auto"/>
                              </w:rPr>
                              <w:t xml:space="preserve"> Invariantní variety definující </w:t>
                            </w:r>
                            <w:r>
                              <w:rPr>
                                <w:noProof/>
                                <w:color w:val="auto"/>
                              </w:rPr>
                              <w:t>o</w:t>
                            </w:r>
                            <w:r w:rsidRPr="00D97A1E">
                              <w:rPr>
                                <w:noProof/>
                                <w:color w:val="auto"/>
                              </w:rPr>
                              <w:t>kraj perturbovaného plazmatu tokamaku.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15pt;margin-top:264.6pt;width:143.25pt;height: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" stroked="f">
                <v:textbox style="mso-fit-shape-to-text:t" inset="0,0,0,0">
                  <w:txbxContent>
                    <w:p w:rsidR="00D97A1E" w:rsidRPr="00D97A1E" w:rsidRDefault="00D97A1E" w:rsidP="00D97A1E">
                      <w:pPr>
                        <w:pStyle w:val="Caption"/>
                        <w:rPr>
                          <w:noProof/>
                          <w:color w:val="auto"/>
                        </w:rPr>
                      </w:pPr>
                      <w:bookmarkStart w:id="2" w:name="_Ref383784736"/>
                      <w:r w:rsidRPr="00D97A1E">
                        <w:rPr>
                          <w:color w:val="auto"/>
                        </w:rPr>
                        <w:t xml:space="preserve">Fig. </w:t>
                      </w:r>
                      <w:r w:rsidRPr="00D97A1E">
                        <w:rPr>
                          <w:color w:val="auto"/>
                        </w:rPr>
                        <w:fldChar w:fldCharType="begin"/>
                      </w:r>
                      <w:r w:rsidRPr="00D97A1E">
                        <w:rPr>
                          <w:color w:val="auto"/>
                        </w:rPr>
                        <w:instrText xml:space="preserve"> SEQ Fig. \* ARABIC </w:instrText>
                      </w:r>
                      <w:r w:rsidRPr="00D97A1E">
                        <w:rPr>
                          <w:color w:val="auto"/>
                        </w:rPr>
                        <w:fldChar w:fldCharType="separate"/>
                      </w:r>
                      <w:r w:rsidRPr="00D97A1E">
                        <w:rPr>
                          <w:noProof/>
                          <w:color w:val="auto"/>
                        </w:rPr>
                        <w:t>1</w:t>
                      </w:r>
                      <w:r w:rsidRPr="00D97A1E">
                        <w:rPr>
                          <w:color w:val="auto"/>
                        </w:rPr>
                        <w:fldChar w:fldCharType="end"/>
                      </w:r>
                      <w:bookmarkEnd w:id="2"/>
                      <w:r w:rsidRPr="00D97A1E">
                        <w:rPr>
                          <w:noProof/>
                          <w:color w:val="auto"/>
                        </w:rPr>
                        <w:t xml:space="preserve"> Invariantní variety definující </w:t>
                      </w:r>
                      <w:r>
                        <w:rPr>
                          <w:noProof/>
                          <w:color w:val="auto"/>
                        </w:rPr>
                        <w:t>o</w:t>
                      </w:r>
                      <w:r w:rsidRPr="00D97A1E">
                        <w:rPr>
                          <w:noProof/>
                          <w:color w:val="auto"/>
                        </w:rPr>
                        <w:t>kraj perturbovaného plazmatu tokamaku.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94D3E18" wp14:editId="7353CB13">
            <wp:simplePos x="0" y="0"/>
            <wp:positionH relativeFrom="column">
              <wp:posOffset>53975</wp:posOffset>
            </wp:positionH>
            <wp:positionV relativeFrom="paragraph">
              <wp:posOffset>845820</wp:posOffset>
            </wp:positionV>
            <wp:extent cx="1817370" cy="2390140"/>
            <wp:effectExtent l="0" t="0" r="0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239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0842">
        <w:t xml:space="preserve">Vzhledem ke značné výpočetní </w:t>
      </w:r>
      <w:r w:rsidR="00965FD2">
        <w:t>náročnosti trojrozměrných simulací je nanejvýš vhodné uchylovat se k analytickým aproximacím, jejichž správnost je ovšem nutno kontrolovat srovnáním s přesnějšími numerickými modely. Analytické aproximace pro analýzu magnetických perturbací typicky vycházejí z metod teorie chaosu (invariantní variet</w:t>
      </w:r>
      <w:r w:rsidR="00BC55F3">
        <w:t xml:space="preserve">y, Melnikovův integrál, souřadnicové transformace, </w:t>
      </w:r>
      <w:r w:rsidR="00965FD2">
        <w:t>integrabilní a neintegrabilní dynamické systémy a integrály pohybu atd.).</w:t>
      </w:r>
      <w:r w:rsidR="00BC55F3">
        <w:t xml:space="preserve"> Popis deformace okraje plazmatu pomocí těchto metod je právě cílem této práce. Z experimentů i numerických simulací je známo, že k deformaciokraje plazmatu působením magnetických perturbací dochází. Jeden druh této deformace – </w:t>
      </w:r>
      <w:r w:rsidR="00E80D83">
        <w:t>tzv. štěpení</w:t>
      </w:r>
      <w:r w:rsidR="00BC55F3">
        <w:t xml:space="preserve"> invariantních variet a jim odpovídající lalokovité struktury pozorované na kraji plazmatu</w:t>
      </w:r>
      <w:r>
        <w:t xml:space="preserve">, viz </w:t>
      </w:r>
      <w:r>
        <w:fldChar w:fldCharType="begin"/>
      </w:r>
      <w:r>
        <w:instrText xml:space="preserve"> REF _Ref383784736 \h </w:instrText>
      </w:r>
      <w:r>
        <w:fldChar w:fldCharType="separate"/>
      </w:r>
      <w:r w:rsidRPr="00D97A1E">
        <w:t xml:space="preserve">Fig. </w:t>
      </w:r>
      <w:r w:rsidRPr="00D97A1E">
        <w:rPr>
          <w:noProof/>
        </w:rPr>
        <w:t>1</w:t>
      </w:r>
      <w:r>
        <w:fldChar w:fldCharType="end"/>
      </w:r>
      <w:r w:rsidR="00BC55F3">
        <w:t xml:space="preserve"> – má již známý matematický popis. Experimenty však ukazují, že reálná deformace tvaru plazmatu </w:t>
      </w:r>
      <w:r w:rsidR="00E80D83">
        <w:t xml:space="preserve">je výraznější než by odpovídalo tomuto typu deformace, musí tedy být způsobena další složkou. Tuto deformaci ukazují numerické modely které berou v potaz i reakci plazmatu na vnější perturbaci, např. kódy MARS-F, MARS-Q, ANIMEC či JOREK. V ideálním MHD modelu (za předpokladu dokonalé vodivosti vysokoteplotního plazmatu) dokonce </w:t>
      </w:r>
      <w:r w:rsidR="00316D34">
        <w:t>ke štěpení invariantních variet nemůže dojít,</w:t>
      </w:r>
      <w:r>
        <w:t xml:space="preserve"> </w:t>
      </w:r>
      <w:r w:rsidR="00316D34">
        <w:t xml:space="preserve">přesto však je plazma deformované. </w:t>
      </w:r>
    </w:p>
    <w:p w:rsidR="00190842" w:rsidRDefault="00E80D83" w:rsidP="00190842">
      <w:r>
        <w:t xml:space="preserve">Cílem práce je </w:t>
      </w:r>
      <w:r w:rsidR="00316D34">
        <w:t>určit deformaci okraje plazmatu ve výsledcích vhodného numerického modelu (např. MARS-F) na vhodném příkladu (např. pokusy na tokamaku MAST) a pokusit se celkovou deformaci vysvětlit jako součet dvou složek: ideální deformace a deforma</w:t>
      </w:r>
      <w:r w:rsidR="00AC62EB">
        <w:t>ce způsobené štěpením invariantních variet</w:t>
      </w:r>
      <w:r w:rsidR="00316D34">
        <w:t>. Pokud by se ukázalo, že je celkovou deformaci možné takto popsat, významně by to zjednodušilo výpočet deformací pro složitější konfigurace řídících cívek.</w:t>
      </w:r>
    </w:p>
    <w:p w:rsidR="008A3486" w:rsidRDefault="008A3486" w:rsidP="00190842">
      <w:r>
        <w:lastRenderedPageBreak/>
        <w:t>V rámci řešení práce se student nejprve seznámí s</w:t>
      </w:r>
      <w:r w:rsidR="003135E7">
        <w:t xml:space="preserve"> teorií ideální a rezistivní magnetohydrodynamiky a s metodami teorie chaosu používanými pro popis magnetických perturbací. Dále se seznámí s numerickými metodami určení kraje plazmatu (separatrix) v perturbovaném magnetickém poli a do stávajících programů pro výpočet kraje plazmatu doplní </w:t>
      </w:r>
      <w:r w:rsidR="00AC62EB">
        <w:t>magnetické pole z numerického modelu reakce plazmatu. Pomocí těchto programů spočte deformaci v numerickém modelu za předpokladu ideální MHD a deformaci způsobenou štěpením variet v numerickém modelu za předpokladu rezistivní MHD. Spočte deformaci odpovídající součtu těchto složek a porovná s celkovou deformací v rezistivním MHD. Tímto srovnáním bude zodpovězena základní otázka bakalářské práce. Případně bude určeno zda jsou nesrovnalosti rázu spíše kavantitativního či kvalitativního.</w:t>
      </w:r>
    </w:p>
    <w:p w:rsidR="00AC62EB" w:rsidRDefault="00AC62EB" w:rsidP="00190842">
      <w:r>
        <w:t xml:space="preserve">Práce je vhodná zejména pro studenta se zájmem o abstraktnější matematické metody v dynamice a zároveň o jejich aplikace na konkrétních fyzikálních příkladech. K řešení je třeba základní znalost numerického programování či schopnost si je doplnit (programy jsou psány v jazyce FORTRAN a předpokládá se analýza a zobrazování výsledků v jazycích Python či MATLAB). </w:t>
      </w:r>
      <w:r w:rsidR="00542F93">
        <w:t>Použité numerické metody však nejsou složité (jedná se v podstatě o přepis analytických vzorců do zdrojového kódu, integrace ODE metodou Runge-Kutta či výpočet určitých integrálů). Nepředpokládá se aktivní používání numerických MHD modelů, pouze využití hotových výstupů.</w:t>
      </w:r>
    </w:p>
    <w:p w:rsidR="00542F93" w:rsidRDefault="00542F93" w:rsidP="00190842">
      <w:r>
        <w:t>V tématu je dále možné pokračovat směrem k simulacím (vlastní simulace pomocí MHD modelů, zahrnutí více modelů, případně jejich rozšiřování, výpočty pro konkrétní konfigurace tokamaku ITER) či k experimentu (analýza deformací na datech z tokamaku COMPASS, srovnání s modely) podle případného zájmu.</w:t>
      </w:r>
    </w:p>
    <w:p w:rsidR="00542F93" w:rsidRDefault="00542F93" w:rsidP="00542F93">
      <w:pPr>
        <w:pStyle w:val="Heading1"/>
      </w:pPr>
      <w:r>
        <w:t>Literatura</w:t>
      </w:r>
    </w:p>
    <w:p w:rsidR="00681C21" w:rsidRPr="00542F93" w:rsidRDefault="00542F93" w:rsidP="00542F93">
      <w:pPr>
        <w:rPr>
          <w:lang w:val="en-US"/>
        </w:rPr>
      </w:pPr>
      <w:r>
        <w:t>J. Freidberg</w:t>
      </w:r>
      <w:r>
        <w:rPr>
          <w:lang w:val="en-US"/>
        </w:rPr>
        <w:t xml:space="preserve">: Ideal </w:t>
      </w:r>
      <w:proofErr w:type="spellStart"/>
      <w:r>
        <w:rPr>
          <w:lang w:val="en-US"/>
        </w:rPr>
        <w:t>magnetohydrodynamics</w:t>
      </w:r>
      <w:proofErr w:type="spellEnd"/>
      <w:r w:rsidR="00681C21">
        <w:rPr>
          <w:lang w:val="en-US"/>
        </w:rPr>
        <w:br/>
      </w:r>
      <w:r w:rsidRPr="00542F93">
        <w:rPr>
          <w:lang w:val="en-US"/>
        </w:rPr>
        <w:t>Stephen Wiggins: Introduction to Applied Nonlinear Dynamical Systems and Chaos</w:t>
      </w:r>
      <w:r w:rsidR="00681C21">
        <w:rPr>
          <w:lang w:val="en-US"/>
        </w:rPr>
        <w:br/>
      </w:r>
      <w:r w:rsidRPr="00542F93">
        <w:rPr>
          <w:lang w:val="da-DK"/>
        </w:rPr>
        <w:t xml:space="preserve">T. E. Evans et al. </w:t>
      </w:r>
      <w:proofErr w:type="gramStart"/>
      <w:r w:rsidRPr="00542F93">
        <w:rPr>
          <w:lang w:val="en-US"/>
        </w:rPr>
        <w:t xml:space="preserve">(2005), </w:t>
      </w:r>
      <w:r w:rsidRPr="00542F93">
        <w:rPr>
          <w:i/>
          <w:lang w:val="en-US"/>
        </w:rPr>
        <w:t>J. Phys. Conf. Ser</w:t>
      </w:r>
      <w:r w:rsidRPr="00542F93">
        <w:rPr>
          <w:lang w:val="en-US"/>
        </w:rPr>
        <w:t xml:space="preserve">. </w:t>
      </w:r>
      <w:r w:rsidRPr="00542F93">
        <w:rPr>
          <w:b/>
          <w:lang w:val="en-US"/>
        </w:rPr>
        <w:t>7</w:t>
      </w:r>
      <w:r w:rsidR="00681C21">
        <w:rPr>
          <w:lang w:val="en-US"/>
        </w:rPr>
        <w:t> </w:t>
      </w:r>
      <w:r w:rsidRPr="00542F93">
        <w:rPr>
          <w:lang w:val="en-US"/>
        </w:rPr>
        <w:t>174</w:t>
      </w:r>
      <w:r w:rsidR="00681C21">
        <w:rPr>
          <w:lang w:val="en-US"/>
        </w:rPr>
        <w:br/>
        <w:t xml:space="preserve">I. Chapman et al. </w:t>
      </w:r>
      <w:r w:rsidR="00681C21" w:rsidRPr="00681C21">
        <w:rPr>
          <w:lang w:val="en-US"/>
        </w:rPr>
        <w:t>(2012)</w:t>
      </w:r>
      <w:r w:rsidR="00681C21">
        <w:rPr>
          <w:lang w:val="en-US"/>
        </w:rPr>
        <w:t>,</w:t>
      </w:r>
      <w:r w:rsidR="00681C21" w:rsidRPr="00681C21">
        <w:rPr>
          <w:lang w:val="en-US"/>
        </w:rPr>
        <w:t xml:space="preserve"> </w:t>
      </w:r>
      <w:r w:rsidR="00681C21" w:rsidRPr="00681C21">
        <w:rPr>
          <w:i/>
          <w:lang w:val="en-US"/>
        </w:rPr>
        <w:t>Plasma Phys. Control.</w:t>
      </w:r>
      <w:proofErr w:type="gramEnd"/>
      <w:r w:rsidR="00681C21" w:rsidRPr="00681C21">
        <w:rPr>
          <w:i/>
          <w:lang w:val="en-US"/>
        </w:rPr>
        <w:t xml:space="preserve"> Fusion</w:t>
      </w:r>
      <w:r w:rsidR="00681C21">
        <w:rPr>
          <w:lang w:val="en-US"/>
        </w:rPr>
        <w:t xml:space="preserve"> </w:t>
      </w:r>
      <w:r w:rsidR="00681C21" w:rsidRPr="00681C21">
        <w:rPr>
          <w:b/>
          <w:lang w:val="en-US"/>
        </w:rPr>
        <w:t>54</w:t>
      </w:r>
      <w:r w:rsidR="00681C21">
        <w:rPr>
          <w:lang w:val="en-US"/>
        </w:rPr>
        <w:t xml:space="preserve"> </w:t>
      </w:r>
      <w:r w:rsidR="00681C21" w:rsidRPr="00681C21">
        <w:rPr>
          <w:lang w:val="en-US"/>
        </w:rPr>
        <w:t>105013</w:t>
      </w:r>
      <w:r w:rsidR="00681C21">
        <w:rPr>
          <w:lang w:val="en-US"/>
        </w:rPr>
        <w:br/>
      </w:r>
      <w:r w:rsidR="00681C21" w:rsidRPr="00681C21">
        <w:rPr>
          <w:lang w:val="en-US"/>
        </w:rPr>
        <w:t xml:space="preserve">P. </w:t>
      </w:r>
      <w:proofErr w:type="spellStart"/>
      <w:r w:rsidR="00681C21" w:rsidRPr="00681C21">
        <w:rPr>
          <w:lang w:val="en-US"/>
        </w:rPr>
        <w:t>Cahyna</w:t>
      </w:r>
      <w:proofErr w:type="spellEnd"/>
      <w:r w:rsidR="00681C21" w:rsidRPr="00681C21">
        <w:rPr>
          <w:lang w:val="en-US"/>
        </w:rPr>
        <w:t xml:space="preserve"> et al. (2013), Method for comparison of </w:t>
      </w:r>
      <w:proofErr w:type="spellStart"/>
      <w:r w:rsidR="00681C21" w:rsidRPr="00681C21">
        <w:rPr>
          <w:lang w:val="en-US"/>
        </w:rPr>
        <w:t>tokamak</w:t>
      </w:r>
      <w:proofErr w:type="spellEnd"/>
      <w:r w:rsidR="00681C21" w:rsidRPr="00681C21">
        <w:rPr>
          <w:lang w:val="en-US"/>
        </w:rPr>
        <w:t xml:space="preserve"> </w:t>
      </w:r>
      <w:proofErr w:type="spellStart"/>
      <w:r w:rsidR="00681C21" w:rsidRPr="00681C21">
        <w:rPr>
          <w:lang w:val="en-US"/>
        </w:rPr>
        <w:t>divertor</w:t>
      </w:r>
      <w:proofErr w:type="spellEnd"/>
      <w:r w:rsidR="00681C21" w:rsidRPr="00681C21">
        <w:rPr>
          <w:lang w:val="en-US"/>
        </w:rPr>
        <w:t xml:space="preserve"> strike point data with magnetic perturbation models, </w:t>
      </w:r>
      <w:proofErr w:type="spellStart"/>
      <w:r w:rsidR="00681C21" w:rsidRPr="00681C21">
        <w:rPr>
          <w:i/>
          <w:lang w:val="en-US"/>
        </w:rPr>
        <w:t>Nucl</w:t>
      </w:r>
      <w:proofErr w:type="spellEnd"/>
      <w:r w:rsidR="00681C21" w:rsidRPr="00681C21">
        <w:rPr>
          <w:i/>
          <w:lang w:val="en-US"/>
        </w:rPr>
        <w:t>. Fusion</w:t>
      </w:r>
      <w:r w:rsidR="00681C21" w:rsidRPr="00681C21">
        <w:rPr>
          <w:lang w:val="en-US"/>
        </w:rPr>
        <w:t>,</w:t>
      </w:r>
      <w:r w:rsidR="00681C21">
        <w:rPr>
          <w:lang w:val="en-US"/>
        </w:rPr>
        <w:t xml:space="preserve"> accepted</w:t>
      </w:r>
      <w:r w:rsidR="00681C21" w:rsidRPr="00681C21">
        <w:rPr>
          <w:lang w:val="en-US"/>
        </w:rPr>
        <w:t>.</w:t>
      </w:r>
      <w:r w:rsidR="00681C21">
        <w:rPr>
          <w:lang w:val="en-US"/>
        </w:rPr>
        <w:br/>
        <w:t xml:space="preserve">P. </w:t>
      </w:r>
      <w:proofErr w:type="spellStart"/>
      <w:r w:rsidR="00681C21">
        <w:rPr>
          <w:lang w:val="en-US"/>
        </w:rPr>
        <w:t>Cahyna</w:t>
      </w:r>
      <w:proofErr w:type="spellEnd"/>
      <w:r w:rsidR="00681C21">
        <w:rPr>
          <w:lang w:val="en-US"/>
        </w:rPr>
        <w:t xml:space="preserve"> et al. (2013),</w:t>
      </w:r>
      <w:r w:rsidR="00C5447E" w:rsidRPr="00C5447E">
        <w:rPr>
          <w:lang w:val="en-US"/>
        </w:rPr>
        <w:t xml:space="preserve"> in </w:t>
      </w:r>
      <w:r w:rsidR="00C5447E" w:rsidRPr="00C5447E">
        <w:rPr>
          <w:i/>
          <w:lang w:val="en-US"/>
        </w:rPr>
        <w:t>Proc. 24th Int. Conf</w:t>
      </w:r>
      <w:r w:rsidR="00C5447E" w:rsidRPr="00C5447E">
        <w:rPr>
          <w:lang w:val="en-US"/>
        </w:rPr>
        <w:t>., San Diego</w:t>
      </w:r>
      <w:r w:rsidR="00C5447E">
        <w:rPr>
          <w:lang w:val="en-US"/>
        </w:rPr>
        <w:t>, 2012, TH</w:t>
      </w:r>
      <w:r w:rsidR="00C5447E" w:rsidRPr="00C5447E">
        <w:rPr>
          <w:lang w:val="en-US"/>
        </w:rPr>
        <w:t>/</w:t>
      </w:r>
      <w:r w:rsidR="00C5447E">
        <w:rPr>
          <w:lang w:val="en-US"/>
        </w:rPr>
        <w:t>P4</w:t>
      </w:r>
      <w:r w:rsidR="00C5447E" w:rsidRPr="00C5447E">
        <w:rPr>
          <w:lang w:val="en-US"/>
        </w:rPr>
        <w:t>-2</w:t>
      </w:r>
      <w:r w:rsidR="00C5447E">
        <w:rPr>
          <w:lang w:val="en-US"/>
        </w:rPr>
        <w:t xml:space="preserve">7 </w:t>
      </w:r>
      <w:hyperlink r:id="rId6" w:history="1">
        <w:r w:rsidR="00C5447E" w:rsidRPr="00105A62">
          <w:rPr>
            <w:rStyle w:val="Hyperlink"/>
            <w:lang w:val="en-US"/>
          </w:rPr>
          <w:t>http://www-naweb.iaea.org/napc/physics/FEC/FEC2012/papers/577_THP427.pdf</w:t>
        </w:r>
      </w:hyperlink>
    </w:p>
    <w:p w:rsidR="00542F93" w:rsidRPr="00542F93" w:rsidRDefault="00542F93" w:rsidP="00542F93">
      <w:pPr>
        <w:rPr>
          <w:lang w:val="en-US"/>
        </w:rPr>
      </w:pPr>
    </w:p>
    <w:sectPr w:rsidR="00542F93" w:rsidRPr="00542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9A"/>
    <w:rsid w:val="00190842"/>
    <w:rsid w:val="003135E7"/>
    <w:rsid w:val="00316D34"/>
    <w:rsid w:val="0046019A"/>
    <w:rsid w:val="004C26B6"/>
    <w:rsid w:val="00542F93"/>
    <w:rsid w:val="0061105F"/>
    <w:rsid w:val="00681C21"/>
    <w:rsid w:val="008A3486"/>
    <w:rsid w:val="008C3269"/>
    <w:rsid w:val="00965FD2"/>
    <w:rsid w:val="00AC62EB"/>
    <w:rsid w:val="00BC55F3"/>
    <w:rsid w:val="00C5447E"/>
    <w:rsid w:val="00D97A1E"/>
    <w:rsid w:val="00E8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842"/>
  </w:style>
  <w:style w:type="paragraph" w:styleId="Heading1">
    <w:name w:val="heading 1"/>
    <w:basedOn w:val="Normal"/>
    <w:next w:val="Normal"/>
    <w:link w:val="Heading1Char"/>
    <w:uiPriority w:val="9"/>
    <w:qFormat/>
    <w:rsid w:val="0019084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84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84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84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84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84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84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84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84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84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84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84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8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84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84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84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84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84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9084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084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84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084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90842"/>
    <w:rPr>
      <w:b/>
      <w:bCs/>
    </w:rPr>
  </w:style>
  <w:style w:type="character" w:styleId="Emphasis">
    <w:name w:val="Emphasis"/>
    <w:uiPriority w:val="20"/>
    <w:qFormat/>
    <w:rsid w:val="0019084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908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9084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9084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9084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84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842"/>
    <w:rPr>
      <w:b/>
      <w:bCs/>
      <w:i/>
      <w:iCs/>
    </w:rPr>
  </w:style>
  <w:style w:type="character" w:styleId="SubtleEmphasis">
    <w:name w:val="Subtle Emphasis"/>
    <w:uiPriority w:val="19"/>
    <w:qFormat/>
    <w:rsid w:val="00190842"/>
    <w:rPr>
      <w:i/>
      <w:iCs/>
    </w:rPr>
  </w:style>
  <w:style w:type="character" w:styleId="IntenseEmphasis">
    <w:name w:val="Intense Emphasis"/>
    <w:uiPriority w:val="21"/>
    <w:qFormat/>
    <w:rsid w:val="00190842"/>
    <w:rPr>
      <w:b/>
      <w:bCs/>
    </w:rPr>
  </w:style>
  <w:style w:type="character" w:styleId="SubtleReference">
    <w:name w:val="Subtle Reference"/>
    <w:uiPriority w:val="31"/>
    <w:qFormat/>
    <w:rsid w:val="00190842"/>
    <w:rPr>
      <w:smallCaps/>
    </w:rPr>
  </w:style>
  <w:style w:type="character" w:styleId="IntenseReference">
    <w:name w:val="Intense Reference"/>
    <w:uiPriority w:val="32"/>
    <w:qFormat/>
    <w:rsid w:val="00190842"/>
    <w:rPr>
      <w:smallCaps/>
      <w:spacing w:val="5"/>
      <w:u w:val="single"/>
    </w:rPr>
  </w:style>
  <w:style w:type="character" w:styleId="BookTitle">
    <w:name w:val="Book Title"/>
    <w:uiPriority w:val="33"/>
    <w:qFormat/>
    <w:rsid w:val="0019084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0842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C544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A1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rsid w:val="00D97A1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842"/>
  </w:style>
  <w:style w:type="paragraph" w:styleId="Heading1">
    <w:name w:val="heading 1"/>
    <w:basedOn w:val="Normal"/>
    <w:next w:val="Normal"/>
    <w:link w:val="Heading1Char"/>
    <w:uiPriority w:val="9"/>
    <w:qFormat/>
    <w:rsid w:val="0019084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84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84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84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84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84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84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84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84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84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84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84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8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84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84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84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84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84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9084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084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84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084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90842"/>
    <w:rPr>
      <w:b/>
      <w:bCs/>
    </w:rPr>
  </w:style>
  <w:style w:type="character" w:styleId="Emphasis">
    <w:name w:val="Emphasis"/>
    <w:uiPriority w:val="20"/>
    <w:qFormat/>
    <w:rsid w:val="0019084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908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9084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9084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9084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84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842"/>
    <w:rPr>
      <w:b/>
      <w:bCs/>
      <w:i/>
      <w:iCs/>
    </w:rPr>
  </w:style>
  <w:style w:type="character" w:styleId="SubtleEmphasis">
    <w:name w:val="Subtle Emphasis"/>
    <w:uiPriority w:val="19"/>
    <w:qFormat/>
    <w:rsid w:val="00190842"/>
    <w:rPr>
      <w:i/>
      <w:iCs/>
    </w:rPr>
  </w:style>
  <w:style w:type="character" w:styleId="IntenseEmphasis">
    <w:name w:val="Intense Emphasis"/>
    <w:uiPriority w:val="21"/>
    <w:qFormat/>
    <w:rsid w:val="00190842"/>
    <w:rPr>
      <w:b/>
      <w:bCs/>
    </w:rPr>
  </w:style>
  <w:style w:type="character" w:styleId="SubtleReference">
    <w:name w:val="Subtle Reference"/>
    <w:uiPriority w:val="31"/>
    <w:qFormat/>
    <w:rsid w:val="00190842"/>
    <w:rPr>
      <w:smallCaps/>
    </w:rPr>
  </w:style>
  <w:style w:type="character" w:styleId="IntenseReference">
    <w:name w:val="Intense Reference"/>
    <w:uiPriority w:val="32"/>
    <w:qFormat/>
    <w:rsid w:val="00190842"/>
    <w:rPr>
      <w:smallCaps/>
      <w:spacing w:val="5"/>
      <w:u w:val="single"/>
    </w:rPr>
  </w:style>
  <w:style w:type="character" w:styleId="BookTitle">
    <w:name w:val="Book Title"/>
    <w:uiPriority w:val="33"/>
    <w:qFormat/>
    <w:rsid w:val="0019084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0842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C544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A1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rsid w:val="00D97A1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-naweb.iaea.org/napc/physics/FEC/FEC2012/papers/577_THP427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752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Cahyna</dc:creator>
  <cp:keywords/>
  <dc:description/>
  <cp:lastModifiedBy>Pavel Cahyna</cp:lastModifiedBy>
  <cp:revision>3</cp:revision>
  <dcterms:created xsi:type="dcterms:W3CDTF">2014-03-26T23:54:00Z</dcterms:created>
  <dcterms:modified xsi:type="dcterms:W3CDTF">2014-03-28T14:44:00Z</dcterms:modified>
</cp:coreProperties>
</file>